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779" w:rsidRPr="00DC2779" w:rsidRDefault="00DC2779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DC2779">
        <w:rPr>
          <w:rFonts w:ascii="Times New Roman" w:hAnsi="Times New Roman" w:cs="Times New Roman"/>
          <w:b/>
        </w:rPr>
        <w:t>Вопрос:</w:t>
      </w:r>
      <w:r w:rsidRPr="00DC2779">
        <w:rPr>
          <w:rFonts w:ascii="Times New Roman" w:hAnsi="Times New Roman" w:cs="Times New Roman"/>
        </w:rPr>
        <w:t xml:space="preserve"> О преференциях и льготах для ИП, применяющих специальные налоговые режимы; о механизмах </w:t>
      </w:r>
      <w:proofErr w:type="gramStart"/>
      <w:r w:rsidRPr="00DC2779">
        <w:rPr>
          <w:rFonts w:ascii="Times New Roman" w:hAnsi="Times New Roman" w:cs="Times New Roman"/>
        </w:rPr>
        <w:t>контроля за</w:t>
      </w:r>
      <w:proofErr w:type="gramEnd"/>
      <w:r w:rsidRPr="00DC2779">
        <w:rPr>
          <w:rFonts w:ascii="Times New Roman" w:hAnsi="Times New Roman" w:cs="Times New Roman"/>
        </w:rPr>
        <w:t xml:space="preserve"> надлежащим качеством поставляемых товаров в сфере закупок.</w:t>
      </w:r>
    </w:p>
    <w:p w:rsidR="00DC2779" w:rsidRPr="00DC2779" w:rsidRDefault="00DC2779">
      <w:pPr>
        <w:pStyle w:val="ConsPlusNormal"/>
        <w:jc w:val="both"/>
        <w:rPr>
          <w:rFonts w:ascii="Times New Roman" w:hAnsi="Times New Roman" w:cs="Times New Roman"/>
        </w:rPr>
      </w:pPr>
    </w:p>
    <w:p w:rsidR="00DC2779" w:rsidRPr="00DC2779" w:rsidRDefault="00DC2779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  <w:b/>
        </w:rPr>
        <w:t>Ответ:</w:t>
      </w:r>
    </w:p>
    <w:p w:rsidR="00DC2779" w:rsidRPr="00DC2779" w:rsidRDefault="00DC2779">
      <w:pPr>
        <w:pStyle w:val="ConsPlusTitle"/>
        <w:spacing w:before="220"/>
        <w:jc w:val="center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МИНИСТЕРСТВО ФИНАНСОВ РОССИЙСКОЙ ФЕДЕРАЦИИ</w:t>
      </w:r>
    </w:p>
    <w:p w:rsidR="00DC2779" w:rsidRPr="00DC2779" w:rsidRDefault="00DC2779">
      <w:pPr>
        <w:pStyle w:val="ConsPlusTitle"/>
        <w:jc w:val="center"/>
        <w:rPr>
          <w:rFonts w:ascii="Times New Roman" w:hAnsi="Times New Roman" w:cs="Times New Roman"/>
        </w:rPr>
      </w:pPr>
    </w:p>
    <w:p w:rsidR="00DC2779" w:rsidRPr="00DC2779" w:rsidRDefault="00DC2779">
      <w:pPr>
        <w:pStyle w:val="ConsPlusTitle"/>
        <w:jc w:val="center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ПИСЬМО</w:t>
      </w:r>
    </w:p>
    <w:p w:rsidR="00DC2779" w:rsidRPr="00DC2779" w:rsidRDefault="00DC2779">
      <w:pPr>
        <w:pStyle w:val="ConsPlusTitle"/>
        <w:jc w:val="center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от 22 апреля 2019 г. N 03-01-11/28821</w:t>
      </w:r>
    </w:p>
    <w:p w:rsidR="00DC2779" w:rsidRPr="00DC2779" w:rsidRDefault="00DC2779">
      <w:pPr>
        <w:pStyle w:val="ConsPlusNormal"/>
        <w:jc w:val="both"/>
        <w:rPr>
          <w:rFonts w:ascii="Times New Roman" w:hAnsi="Times New Roman" w:cs="Times New Roman"/>
        </w:rPr>
      </w:pPr>
    </w:p>
    <w:p w:rsidR="00DC2779" w:rsidRPr="00DC2779" w:rsidRDefault="00DC2779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Департамент налоговой и таможенной политики рассмотрел обращение и сообщает.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О преференциях и налоговых льготах для предприятий малого и среднего бизнеса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DC2779">
        <w:rPr>
          <w:rFonts w:ascii="Times New Roman" w:hAnsi="Times New Roman" w:cs="Times New Roman"/>
        </w:rPr>
        <w:t xml:space="preserve">В настоящее время при осуществлении предпринимательской деятельности индивидуальные предприниматели самостоятельно выбирают оптимальный налоговый режим в соответствии с положениями </w:t>
      </w:r>
      <w:hyperlink r:id="rId5" w:history="1">
        <w:r w:rsidRPr="00DC2779">
          <w:rPr>
            <w:rFonts w:ascii="Times New Roman" w:hAnsi="Times New Roman" w:cs="Times New Roman"/>
            <w:color w:val="0000FF"/>
          </w:rPr>
          <w:t>глав 23</w:t>
        </w:r>
      </w:hyperlink>
      <w:r w:rsidRPr="00DC2779">
        <w:rPr>
          <w:rFonts w:ascii="Times New Roman" w:hAnsi="Times New Roman" w:cs="Times New Roman"/>
        </w:rPr>
        <w:t xml:space="preserve">, </w:t>
      </w:r>
      <w:hyperlink r:id="rId6" w:history="1">
        <w:r w:rsidRPr="00DC2779">
          <w:rPr>
            <w:rFonts w:ascii="Times New Roman" w:hAnsi="Times New Roman" w:cs="Times New Roman"/>
            <w:color w:val="0000FF"/>
          </w:rPr>
          <w:t>26.1</w:t>
        </w:r>
      </w:hyperlink>
      <w:r w:rsidRPr="00DC2779">
        <w:rPr>
          <w:rFonts w:ascii="Times New Roman" w:hAnsi="Times New Roman" w:cs="Times New Roman"/>
        </w:rPr>
        <w:t xml:space="preserve">, </w:t>
      </w:r>
      <w:hyperlink r:id="rId7" w:history="1">
        <w:r w:rsidRPr="00DC2779">
          <w:rPr>
            <w:rFonts w:ascii="Times New Roman" w:hAnsi="Times New Roman" w:cs="Times New Roman"/>
            <w:color w:val="0000FF"/>
          </w:rPr>
          <w:t>26.2</w:t>
        </w:r>
      </w:hyperlink>
      <w:r w:rsidRPr="00DC2779">
        <w:rPr>
          <w:rFonts w:ascii="Times New Roman" w:hAnsi="Times New Roman" w:cs="Times New Roman"/>
        </w:rPr>
        <w:t xml:space="preserve">, </w:t>
      </w:r>
      <w:hyperlink r:id="rId8" w:history="1">
        <w:r w:rsidRPr="00DC2779">
          <w:rPr>
            <w:rFonts w:ascii="Times New Roman" w:hAnsi="Times New Roman" w:cs="Times New Roman"/>
            <w:color w:val="0000FF"/>
          </w:rPr>
          <w:t>26.3</w:t>
        </w:r>
      </w:hyperlink>
      <w:r w:rsidRPr="00DC2779">
        <w:rPr>
          <w:rFonts w:ascii="Times New Roman" w:hAnsi="Times New Roman" w:cs="Times New Roman"/>
        </w:rPr>
        <w:t xml:space="preserve"> и </w:t>
      </w:r>
      <w:hyperlink r:id="rId9" w:history="1">
        <w:r w:rsidRPr="00DC2779">
          <w:rPr>
            <w:rFonts w:ascii="Times New Roman" w:hAnsi="Times New Roman" w:cs="Times New Roman"/>
            <w:color w:val="0000FF"/>
          </w:rPr>
          <w:t>26.5</w:t>
        </w:r>
      </w:hyperlink>
      <w:r w:rsidRPr="00DC2779">
        <w:rPr>
          <w:rFonts w:ascii="Times New Roman" w:hAnsi="Times New Roman" w:cs="Times New Roman"/>
        </w:rPr>
        <w:t xml:space="preserve"> Налогового кодекса Российской Федерации (далее - Кодекс), а именно в добровольном порядке могут перейти на общий режим налогообложения или специальные налоговые режимы: систему налогообложения для сельскохозяйственных товаропроизводителей (единый сельскохозяйственный налог), упрощенную систему налогообложения (далее - УСН), систему</w:t>
      </w:r>
      <w:proofErr w:type="gramEnd"/>
      <w:r w:rsidRPr="00DC2779">
        <w:rPr>
          <w:rFonts w:ascii="Times New Roman" w:hAnsi="Times New Roman" w:cs="Times New Roman"/>
        </w:rPr>
        <w:t xml:space="preserve"> налогообложения в виде единого налога на вмененный доход для отдельных видов деятельности (далее - ЕНВД) или патентную систему налогообложения.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DC2779">
        <w:rPr>
          <w:rFonts w:ascii="Times New Roman" w:hAnsi="Times New Roman" w:cs="Times New Roman"/>
        </w:rPr>
        <w:t xml:space="preserve">При этом индивидуальные предприниматели, применяющие специальные налоговые режимы, освобождаются от уплаты налога на доходы физических лиц (в отношении доходов, полученных от предпринимательской деятельности, за исключением налога, уплачиваемого с доходов в виде дивидендов, а также с доходов, облагаемых по налоговым ставкам, предусмотренным </w:t>
      </w:r>
      <w:hyperlink r:id="rId10" w:history="1">
        <w:r w:rsidRPr="00DC2779">
          <w:rPr>
            <w:rFonts w:ascii="Times New Roman" w:hAnsi="Times New Roman" w:cs="Times New Roman"/>
            <w:color w:val="0000FF"/>
          </w:rPr>
          <w:t>пунктами 2</w:t>
        </w:r>
      </w:hyperlink>
      <w:r w:rsidRPr="00DC2779">
        <w:rPr>
          <w:rFonts w:ascii="Times New Roman" w:hAnsi="Times New Roman" w:cs="Times New Roman"/>
        </w:rPr>
        <w:t xml:space="preserve"> и </w:t>
      </w:r>
      <w:hyperlink r:id="rId11" w:history="1">
        <w:r w:rsidRPr="00DC2779">
          <w:rPr>
            <w:rFonts w:ascii="Times New Roman" w:hAnsi="Times New Roman" w:cs="Times New Roman"/>
            <w:color w:val="0000FF"/>
          </w:rPr>
          <w:t>5 статьи 224</w:t>
        </w:r>
      </w:hyperlink>
      <w:r w:rsidRPr="00DC2779">
        <w:rPr>
          <w:rFonts w:ascii="Times New Roman" w:hAnsi="Times New Roman" w:cs="Times New Roman"/>
        </w:rPr>
        <w:t xml:space="preserve"> Кодекса), налога на имущество физических лиц (в отношении имущества, используемого для предпринимательской деятельности</w:t>
      </w:r>
      <w:proofErr w:type="gramEnd"/>
      <w:r w:rsidRPr="00DC2779">
        <w:rPr>
          <w:rFonts w:ascii="Times New Roman" w:hAnsi="Times New Roman" w:cs="Times New Roman"/>
        </w:rPr>
        <w:t xml:space="preserve">, за исключением объектов налогообложения налогом на имущество физических лиц, включенных в перечень, определяемый в соответствии с </w:t>
      </w:r>
      <w:hyperlink r:id="rId12" w:history="1">
        <w:r w:rsidRPr="00DC2779">
          <w:rPr>
            <w:rFonts w:ascii="Times New Roman" w:hAnsi="Times New Roman" w:cs="Times New Roman"/>
            <w:color w:val="0000FF"/>
          </w:rPr>
          <w:t>пунктом 7 статьи 378.2</w:t>
        </w:r>
      </w:hyperlink>
      <w:r w:rsidRPr="00DC2779">
        <w:rPr>
          <w:rFonts w:ascii="Times New Roman" w:hAnsi="Times New Roman" w:cs="Times New Roman"/>
        </w:rPr>
        <w:t xml:space="preserve"> Кодекса с учетом особенностей, предусмотренных </w:t>
      </w:r>
      <w:hyperlink r:id="rId13" w:history="1">
        <w:r w:rsidRPr="00DC2779">
          <w:rPr>
            <w:rFonts w:ascii="Times New Roman" w:hAnsi="Times New Roman" w:cs="Times New Roman"/>
            <w:color w:val="0000FF"/>
          </w:rPr>
          <w:t>абзацем вторым пункта 10 статьи 378.2</w:t>
        </w:r>
      </w:hyperlink>
      <w:r w:rsidRPr="00DC2779">
        <w:rPr>
          <w:rFonts w:ascii="Times New Roman" w:hAnsi="Times New Roman" w:cs="Times New Roman"/>
        </w:rPr>
        <w:t xml:space="preserve"> Кодекса).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 xml:space="preserve">Указанные налогоплательщики не признаются налогоплательщиками налога на добавленную стоимость (далее - НДС), за исключением НДС, подлежащего уплате в соответствии с </w:t>
      </w:r>
      <w:hyperlink r:id="rId14" w:history="1">
        <w:r w:rsidRPr="00DC2779">
          <w:rPr>
            <w:rFonts w:ascii="Times New Roman" w:hAnsi="Times New Roman" w:cs="Times New Roman"/>
            <w:color w:val="0000FF"/>
          </w:rPr>
          <w:t>Кодексом</w:t>
        </w:r>
      </w:hyperlink>
      <w:r w:rsidRPr="00DC2779">
        <w:rPr>
          <w:rFonts w:ascii="Times New Roman" w:hAnsi="Times New Roman" w:cs="Times New Roman"/>
        </w:rPr>
        <w:t xml:space="preserve"> при ввозе товаров на территорию Российской Федерации и иные территории, находящиеся </w:t>
      </w:r>
      <w:proofErr w:type="gramStart"/>
      <w:r w:rsidRPr="00DC2779">
        <w:rPr>
          <w:rFonts w:ascii="Times New Roman" w:hAnsi="Times New Roman" w:cs="Times New Roman"/>
        </w:rPr>
        <w:t>под</w:t>
      </w:r>
      <w:proofErr w:type="gramEnd"/>
      <w:r w:rsidRPr="00DC2779">
        <w:rPr>
          <w:rFonts w:ascii="Times New Roman" w:hAnsi="Times New Roman" w:cs="Times New Roman"/>
        </w:rPr>
        <w:t xml:space="preserve"> </w:t>
      </w:r>
      <w:proofErr w:type="gramStart"/>
      <w:r w:rsidRPr="00DC2779">
        <w:rPr>
          <w:rFonts w:ascii="Times New Roman" w:hAnsi="Times New Roman" w:cs="Times New Roman"/>
        </w:rPr>
        <w:t>ее</w:t>
      </w:r>
      <w:proofErr w:type="gramEnd"/>
      <w:r w:rsidRPr="00DC2779">
        <w:rPr>
          <w:rFonts w:ascii="Times New Roman" w:hAnsi="Times New Roman" w:cs="Times New Roman"/>
        </w:rPr>
        <w:t xml:space="preserve"> юрисдикцией (включая суммы налога, подлежащие уплате при завершении действия таможенной процедуры свободной таможенной зоны на территории Особой экономической зоны в Калининградской области), а также НДС, уплачиваемого в соответствии со </w:t>
      </w:r>
      <w:hyperlink r:id="rId15" w:history="1">
        <w:r w:rsidRPr="00DC2779">
          <w:rPr>
            <w:rFonts w:ascii="Times New Roman" w:hAnsi="Times New Roman" w:cs="Times New Roman"/>
            <w:color w:val="0000FF"/>
          </w:rPr>
          <w:t>статьями 161</w:t>
        </w:r>
      </w:hyperlink>
      <w:r w:rsidRPr="00DC2779">
        <w:rPr>
          <w:rFonts w:ascii="Times New Roman" w:hAnsi="Times New Roman" w:cs="Times New Roman"/>
        </w:rPr>
        <w:t xml:space="preserve"> и </w:t>
      </w:r>
      <w:hyperlink r:id="rId16" w:history="1">
        <w:r w:rsidRPr="00DC2779">
          <w:rPr>
            <w:rFonts w:ascii="Times New Roman" w:hAnsi="Times New Roman" w:cs="Times New Roman"/>
            <w:color w:val="0000FF"/>
          </w:rPr>
          <w:t>174.1</w:t>
        </w:r>
      </w:hyperlink>
      <w:r w:rsidRPr="00DC2779">
        <w:rPr>
          <w:rFonts w:ascii="Times New Roman" w:hAnsi="Times New Roman" w:cs="Times New Roman"/>
        </w:rPr>
        <w:t xml:space="preserve"> Кодекса.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 xml:space="preserve">Кроме того, </w:t>
      </w:r>
      <w:hyperlink r:id="rId17" w:history="1">
        <w:r w:rsidRPr="00DC2779">
          <w:rPr>
            <w:rFonts w:ascii="Times New Roman" w:hAnsi="Times New Roman" w:cs="Times New Roman"/>
            <w:color w:val="0000FF"/>
          </w:rPr>
          <w:t>Кодексом</w:t>
        </w:r>
      </w:hyperlink>
      <w:r w:rsidRPr="00DC2779">
        <w:rPr>
          <w:rFonts w:ascii="Times New Roman" w:hAnsi="Times New Roman" w:cs="Times New Roman"/>
        </w:rPr>
        <w:t xml:space="preserve"> предусмотрены различные налоговые преференции для указанных налогоплательщиков в зависимости от применяемого специального налогового режима.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Так, например, законами субъектов Российской Федерации могут быть установлены налоговые ставки по налогу, уплачиваемому в связи с применением УСН с объектом налогообложения в виде доходов, в пределах от 1 до 6 процентов в зависимости от категорий налогоплательщиков и видов предпринимательской деятельности (</w:t>
      </w:r>
      <w:hyperlink r:id="rId18" w:history="1">
        <w:r w:rsidRPr="00DC2779">
          <w:rPr>
            <w:rFonts w:ascii="Times New Roman" w:hAnsi="Times New Roman" w:cs="Times New Roman"/>
            <w:color w:val="0000FF"/>
          </w:rPr>
          <w:t>пункт 1 статьи 346.20</w:t>
        </w:r>
      </w:hyperlink>
      <w:r w:rsidRPr="00DC2779">
        <w:rPr>
          <w:rFonts w:ascii="Times New Roman" w:hAnsi="Times New Roman" w:cs="Times New Roman"/>
        </w:rPr>
        <w:t xml:space="preserve"> Кодекса).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 xml:space="preserve">На основании </w:t>
      </w:r>
      <w:hyperlink r:id="rId19" w:history="1">
        <w:r w:rsidRPr="00DC2779">
          <w:rPr>
            <w:rFonts w:ascii="Times New Roman" w:hAnsi="Times New Roman" w:cs="Times New Roman"/>
            <w:color w:val="0000FF"/>
          </w:rPr>
          <w:t>пункта 2 статьи 346.20</w:t>
        </w:r>
      </w:hyperlink>
      <w:r w:rsidRPr="00DC2779">
        <w:rPr>
          <w:rFonts w:ascii="Times New Roman" w:hAnsi="Times New Roman" w:cs="Times New Roman"/>
        </w:rPr>
        <w:t xml:space="preserve"> Кодекса законами субъектов Российской Федерации также могут быть установлены дифференцированные налоговые ставки для налогоплательщиков, применяющих УСН с объектом налогообложения в виде доходов, уменьшенных на величину расходов, в пределах от 5 до 15 процентов в зависимости от категории налогоплательщиков.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 xml:space="preserve">В соответствии с </w:t>
      </w:r>
      <w:hyperlink r:id="rId20" w:history="1">
        <w:r w:rsidRPr="00DC2779">
          <w:rPr>
            <w:rFonts w:ascii="Times New Roman" w:hAnsi="Times New Roman" w:cs="Times New Roman"/>
            <w:color w:val="0000FF"/>
          </w:rPr>
          <w:t>пунктом 2 статьи 346.31</w:t>
        </w:r>
      </w:hyperlink>
      <w:r w:rsidRPr="00DC2779">
        <w:rPr>
          <w:rFonts w:ascii="Times New Roman" w:hAnsi="Times New Roman" w:cs="Times New Roman"/>
        </w:rPr>
        <w:t xml:space="preserve"> Кодекса представительными органами муниципальных образований, законодательными органами городов федерального значения Москвы, Санкт-Петербурга и Севастополя могут быть установлены ставки ЕНВД в пределах от </w:t>
      </w:r>
      <w:r w:rsidRPr="00DC2779">
        <w:rPr>
          <w:rFonts w:ascii="Times New Roman" w:hAnsi="Times New Roman" w:cs="Times New Roman"/>
        </w:rPr>
        <w:lastRenderedPageBreak/>
        <w:t>7,5 до 15 процентов в зависимости от категорий налогоплательщиков и видов предпринимательской деятельности, в отношении которых может применяться ЕНВД.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 xml:space="preserve">Поскольку предоставление указанных преференций </w:t>
      </w:r>
      <w:hyperlink r:id="rId21" w:history="1">
        <w:r w:rsidRPr="00DC2779">
          <w:rPr>
            <w:rFonts w:ascii="Times New Roman" w:hAnsi="Times New Roman" w:cs="Times New Roman"/>
            <w:color w:val="0000FF"/>
          </w:rPr>
          <w:t>Кодексом</w:t>
        </w:r>
      </w:hyperlink>
      <w:r w:rsidRPr="00DC2779">
        <w:rPr>
          <w:rFonts w:ascii="Times New Roman" w:hAnsi="Times New Roman" w:cs="Times New Roman"/>
        </w:rPr>
        <w:t xml:space="preserve"> делегировано законодательным органам субъектов Российской Федерации и представительным органам муниципальных образований, для решения вопроса о снижении налоговой нагрузки субъектам малого предпринимательства следует обращаться в указанные органы власти, в компетенции которых находится решение такого вопроса.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 xml:space="preserve">О контрактной системе в сфере закупок в части усиления </w:t>
      </w:r>
      <w:proofErr w:type="gramStart"/>
      <w:r w:rsidRPr="00DC2779">
        <w:rPr>
          <w:rFonts w:ascii="Times New Roman" w:hAnsi="Times New Roman" w:cs="Times New Roman"/>
        </w:rPr>
        <w:t>контроля за</w:t>
      </w:r>
      <w:proofErr w:type="gramEnd"/>
      <w:r w:rsidRPr="00DC2779">
        <w:rPr>
          <w:rFonts w:ascii="Times New Roman" w:hAnsi="Times New Roman" w:cs="Times New Roman"/>
        </w:rPr>
        <w:t xml:space="preserve"> приемкой товаров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DC2779">
        <w:rPr>
          <w:rFonts w:ascii="Times New Roman" w:hAnsi="Times New Roman" w:cs="Times New Roman"/>
        </w:rPr>
        <w:t xml:space="preserve">В соответствии с </w:t>
      </w:r>
      <w:hyperlink r:id="rId22" w:history="1">
        <w:r w:rsidRPr="00DC2779">
          <w:rPr>
            <w:rFonts w:ascii="Times New Roman" w:hAnsi="Times New Roman" w:cs="Times New Roman"/>
            <w:color w:val="0000FF"/>
          </w:rPr>
          <w:t>частью 3 статьи 94</w:t>
        </w:r>
      </w:hyperlink>
      <w:r w:rsidRPr="00DC2779">
        <w:rPr>
          <w:rFonts w:ascii="Times New Roman" w:hAnsi="Times New Roman" w:cs="Times New Roman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для проверки представленных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  <w:proofErr w:type="gramEnd"/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</w:t>
      </w:r>
    </w:p>
    <w:p w:rsidR="00DC2779" w:rsidRPr="00DC2779" w:rsidRDefault="00DC2779">
      <w:pPr>
        <w:spacing w:after="1"/>
        <w:rPr>
          <w:rFonts w:ascii="Times New Roman" w:hAnsi="Times New Roman" w:cs="Times New Roman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C2779" w:rsidRPr="00DC277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C2779" w:rsidRPr="00DC2779" w:rsidRDefault="00DC277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C2779">
              <w:rPr>
                <w:rFonts w:ascii="Times New Roman" w:hAnsi="Times New Roman" w:cs="Times New Roman"/>
                <w:color w:val="392C69"/>
              </w:rPr>
              <w:t>КонсультантПлюс: примечание.</w:t>
            </w:r>
          </w:p>
          <w:p w:rsidR="00DC2779" w:rsidRPr="00DC2779" w:rsidRDefault="00DC2779">
            <w:pPr>
              <w:pStyle w:val="ConsPlusNormal"/>
              <w:rPr>
                <w:rFonts w:ascii="Times New Roman" w:hAnsi="Times New Roman" w:cs="Times New Roman"/>
              </w:rPr>
            </w:pPr>
            <w:r w:rsidRPr="00DC2779">
              <w:rPr>
                <w:rFonts w:ascii="Times New Roman" w:hAnsi="Times New Roman" w:cs="Times New Roman"/>
                <w:color w:val="392C69"/>
              </w:rPr>
              <w:t xml:space="preserve">В тексте документа, видимо, допущена опечатка: имеется в виду </w:t>
            </w:r>
            <w:hyperlink r:id="rId23" w:history="1">
              <w:r w:rsidRPr="00DC2779">
                <w:rPr>
                  <w:rFonts w:ascii="Times New Roman" w:hAnsi="Times New Roman" w:cs="Times New Roman"/>
                  <w:color w:val="0000FF"/>
                </w:rPr>
                <w:t>часть 4 статьи 94</w:t>
              </w:r>
            </w:hyperlink>
            <w:r w:rsidRPr="00DC2779">
              <w:rPr>
                <w:rFonts w:ascii="Times New Roman" w:hAnsi="Times New Roman" w:cs="Times New Roman"/>
                <w:color w:val="392C69"/>
              </w:rPr>
              <w:t xml:space="preserve"> Федерального закона от 05.04.2013 N 44-ФЗ, а не часть 4 статьи 9.</w:t>
            </w:r>
          </w:p>
        </w:tc>
      </w:tr>
    </w:tbl>
    <w:p w:rsidR="00DC2779" w:rsidRPr="00DC2779" w:rsidRDefault="00DC2779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 xml:space="preserve">При этом </w:t>
      </w:r>
      <w:hyperlink r:id="rId24" w:history="1">
        <w:r w:rsidRPr="00DC2779">
          <w:rPr>
            <w:rFonts w:ascii="Times New Roman" w:hAnsi="Times New Roman" w:cs="Times New Roman"/>
            <w:color w:val="0000FF"/>
          </w:rPr>
          <w:t>частью 4 статьи 94</w:t>
        </w:r>
      </w:hyperlink>
      <w:r w:rsidRPr="00DC2779">
        <w:rPr>
          <w:rFonts w:ascii="Times New Roman" w:hAnsi="Times New Roman" w:cs="Times New Roman"/>
        </w:rPr>
        <w:t xml:space="preserve"> Закона о контрактной системе установлено, что заказчик обязан привлекать экспертов, экспертные организации к проведению экспертизы поставленного товара, выполненной работы или оказанной услуги, если закупка осуществляется у единственного поставщика (подрядчика, исполнителя), за исключением случаев, установленных частью 4 статьи 9 Закона о контрактной системе.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 xml:space="preserve">Таким образом, в настоящее время </w:t>
      </w:r>
      <w:hyperlink r:id="rId25" w:history="1">
        <w:r w:rsidRPr="00DC2779">
          <w:rPr>
            <w:rFonts w:ascii="Times New Roman" w:hAnsi="Times New Roman" w:cs="Times New Roman"/>
            <w:color w:val="0000FF"/>
          </w:rPr>
          <w:t>Законом</w:t>
        </w:r>
      </w:hyperlink>
      <w:r w:rsidRPr="00DC2779">
        <w:rPr>
          <w:rFonts w:ascii="Times New Roman" w:hAnsi="Times New Roman" w:cs="Times New Roman"/>
        </w:rPr>
        <w:t xml:space="preserve"> о контрактной системе предусмотрен механизм, обязывающий заказчика проводить экспертизу для проверки представленных поставщиком (подрядчиком, исполнителем) результатов, предусмотренных контрактом, в части их соответствия условиям контракта.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Кроме того, вопрос о надлежащем качестве поставляемых товаров необходимо решать путем установления в техническом задании соответствующих требований к товарам.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В случае ненадлежащего исполнения условий контракта заказчик вправе применить: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- штрафные санкции в размере, предусмотренном контрактом;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- отказ от приемки товара (работы, услуги) до устранения недостатков;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- расторжение контракта, в том числе в одностороннем порядке.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При этом заказчик вправе требовать исполнения гарантийных обязатель</w:t>
      </w:r>
      <w:proofErr w:type="gramStart"/>
      <w:r w:rsidRPr="00DC2779">
        <w:rPr>
          <w:rFonts w:ascii="Times New Roman" w:hAnsi="Times New Roman" w:cs="Times New Roman"/>
        </w:rPr>
        <w:t>ств пр</w:t>
      </w:r>
      <w:proofErr w:type="gramEnd"/>
      <w:r w:rsidRPr="00DC2779">
        <w:rPr>
          <w:rFonts w:ascii="Times New Roman" w:hAnsi="Times New Roman" w:cs="Times New Roman"/>
        </w:rPr>
        <w:t>и наступлении гарантийных случаев.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Также информация о поставщиках (подрядчиках, исполнителях),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контрактов, включается в реестр недобросовестных поставщиков (подрядчиков, исполнителей). При этом предусмотрено включение в такой реестр не только информации о поставщиках (подрядчиках, исполнителях), но и информации об их учредителях, членах коллегиального исполнительного органа, лице, исполняющем функции единоличного исполнительного органа участника.</w:t>
      </w:r>
    </w:p>
    <w:p w:rsidR="00DC2779" w:rsidRPr="00DC2779" w:rsidRDefault="00DC27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lastRenderedPageBreak/>
        <w:t xml:space="preserve">Дополнительно сообщаем, что Минфином России проводится работа по реализации </w:t>
      </w:r>
      <w:hyperlink r:id="rId26" w:history="1">
        <w:r w:rsidRPr="00DC2779">
          <w:rPr>
            <w:rFonts w:ascii="Times New Roman" w:hAnsi="Times New Roman" w:cs="Times New Roman"/>
            <w:color w:val="0000FF"/>
          </w:rPr>
          <w:t>Концепции</w:t>
        </w:r>
      </w:hyperlink>
      <w:r w:rsidRPr="00DC2779">
        <w:rPr>
          <w:rFonts w:ascii="Times New Roman" w:hAnsi="Times New Roman" w:cs="Times New Roman"/>
        </w:rPr>
        <w:t xml:space="preserve"> повышения эффективности бюджетных расходов в 2019 - 2024 годах, утвержденной Правительством Российской Федерации, содержащей системные меры по дальнейшему совершенствованию контрактной системы в сфере закупок товаров, работ, услуг для обеспечения государственных и муниципальных нужд на среднесрочную и долгосрочную перспективы.</w:t>
      </w:r>
    </w:p>
    <w:p w:rsidR="00DC2779" w:rsidRPr="00DC2779" w:rsidRDefault="00DC2779">
      <w:pPr>
        <w:pStyle w:val="ConsPlusNormal"/>
        <w:jc w:val="both"/>
        <w:rPr>
          <w:rFonts w:ascii="Times New Roman" w:hAnsi="Times New Roman" w:cs="Times New Roman"/>
        </w:rPr>
      </w:pPr>
    </w:p>
    <w:p w:rsidR="00DC2779" w:rsidRPr="00DC2779" w:rsidRDefault="00DC2779">
      <w:pPr>
        <w:pStyle w:val="ConsPlusNormal"/>
        <w:jc w:val="right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Заместитель директора Департамента</w:t>
      </w:r>
    </w:p>
    <w:p w:rsidR="00DC2779" w:rsidRPr="00DC2779" w:rsidRDefault="00DC2779">
      <w:pPr>
        <w:pStyle w:val="ConsPlusNormal"/>
        <w:jc w:val="right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В.А.ПРОКАЕВ</w:t>
      </w:r>
    </w:p>
    <w:p w:rsidR="00DC2779" w:rsidRPr="00DC2779" w:rsidRDefault="00DC2779">
      <w:pPr>
        <w:pStyle w:val="ConsPlusNormal"/>
        <w:rPr>
          <w:rFonts w:ascii="Times New Roman" w:hAnsi="Times New Roman" w:cs="Times New Roman"/>
        </w:rPr>
      </w:pPr>
      <w:r w:rsidRPr="00DC2779">
        <w:rPr>
          <w:rFonts w:ascii="Times New Roman" w:hAnsi="Times New Roman" w:cs="Times New Roman"/>
        </w:rPr>
        <w:t>22.04.2019</w:t>
      </w:r>
    </w:p>
    <w:p w:rsidR="00DC2779" w:rsidRPr="00DC2779" w:rsidRDefault="00DC2779">
      <w:pPr>
        <w:pStyle w:val="ConsPlusNormal"/>
        <w:jc w:val="both"/>
        <w:rPr>
          <w:rFonts w:ascii="Times New Roman" w:hAnsi="Times New Roman" w:cs="Times New Roman"/>
        </w:rPr>
      </w:pPr>
    </w:p>
    <w:p w:rsidR="00DC2779" w:rsidRPr="00DC2779" w:rsidRDefault="00DC2779">
      <w:pPr>
        <w:pStyle w:val="ConsPlusNormal"/>
        <w:jc w:val="both"/>
        <w:rPr>
          <w:rFonts w:ascii="Times New Roman" w:hAnsi="Times New Roman" w:cs="Times New Roman"/>
        </w:rPr>
      </w:pPr>
    </w:p>
    <w:p w:rsidR="00DC2779" w:rsidRPr="00DC2779" w:rsidRDefault="00DC2779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BB6D23" w:rsidRDefault="00BB6D23"/>
    <w:sectPr w:rsidR="00BB6D23" w:rsidSect="001C4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779"/>
    <w:rsid w:val="00155A21"/>
    <w:rsid w:val="005F1524"/>
    <w:rsid w:val="00BB6D23"/>
    <w:rsid w:val="00CF25EB"/>
    <w:rsid w:val="00DC2779"/>
    <w:rsid w:val="00EE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277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C277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C277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277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C277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C277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D6F95BBFCBC07199089FD29538C883D555E09A88388EEEB5DB82F0D8958FDDC44053BB5819A911E7715A9CD5B1E6BED054347854FA7A62GBB2D" TargetMode="External"/><Relationship Id="rId13" Type="http://schemas.openxmlformats.org/officeDocument/2006/relationships/hyperlink" Target="consultantplus://offline/ref=7AD6F95BBFCBC07199089FD29538C883D555E09A88388EEEB5DB82F0D8958FDDC44053BB5B13A615EF2E5F89C4E9E9B5C74A3C6E48F87BG6BAD" TargetMode="External"/><Relationship Id="rId18" Type="http://schemas.openxmlformats.org/officeDocument/2006/relationships/hyperlink" Target="consultantplus://offline/ref=7AD6F95BBFCBC07199089FD29538C883D555E09A88388EEEB5DB82F0D8958FDDC44053BB5912A715EF2E5F89C4E9E9B5C74A3C6E48F87BG6BAD" TargetMode="External"/><Relationship Id="rId26" Type="http://schemas.openxmlformats.org/officeDocument/2006/relationships/hyperlink" Target="consultantplus://offline/ref=7AD6F95BBFCBC07199089FD29538C883D556E59E89398EEEB5DB82F0D8958FDDC44053BB581AAE13EC715A9CD5B1E6BED054347854FA7A62GBB2D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AD6F95BBFCBC07199089FD29538C883D555E09A88388EEEB5DB82F0D8958FDDC44053BB5819AB12E0715A9CD5B1E6BED054347854FA7A62GBB2D" TargetMode="External"/><Relationship Id="rId7" Type="http://schemas.openxmlformats.org/officeDocument/2006/relationships/hyperlink" Target="consultantplus://offline/ref=7AD6F95BBFCBC07199089FD29538C883D555E09A88388EEEB5DB82F0D8958FDDC44053BB5819AB14E6715A9CD5B1E6BED054347854FA7A62GBB2D" TargetMode="External"/><Relationship Id="rId12" Type="http://schemas.openxmlformats.org/officeDocument/2006/relationships/hyperlink" Target="consultantplus://offline/ref=7AD6F95BBFCBC07199089FD29538C883D555E09A88388EEEB5DB82F0D8958FDDC44053B35A18AE18B02B4A989CE6E2A2D9422A724AF9G7B3D" TargetMode="External"/><Relationship Id="rId17" Type="http://schemas.openxmlformats.org/officeDocument/2006/relationships/hyperlink" Target="consultantplus://offline/ref=7AD6F95BBFCBC07199089FD29538C883D555E09A88388EEEB5DB82F0D8958FDDC44053BB5819AB12E0715A9CD5B1E6BED054347854FA7A62GBB2D" TargetMode="External"/><Relationship Id="rId25" Type="http://schemas.openxmlformats.org/officeDocument/2006/relationships/hyperlink" Target="consultantplus://offline/ref=7AD6F95BBFCBC07199089FD29538C883D556E79D84398EEEB5DB82F0D8958FDDC44053BB581BAC1AE4715A9CD5B1E6BED054347854FA7A62GBB2D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AD6F95BBFCBC07199089FD29538C883D555E09A88388EEEB5DB82F0D8958FDDC44053BD5B1BAA18B02B4A989CE6E2A2D9422A724AF9G7B3D" TargetMode="External"/><Relationship Id="rId20" Type="http://schemas.openxmlformats.org/officeDocument/2006/relationships/hyperlink" Target="consultantplus://offline/ref=7AD6F95BBFCBC07199089FD29538C883D555E09A88388EEEB5DB82F0D8958FDDC44053BB5913AC10EF2E5F89C4E9E9B5C74A3C6E48F87BG6BA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AD6F95BBFCBC07199089FD29538C883D555E09A88388EEEB5DB82F0D8958FDDC44053B85019A547B53E5BC093EDF5BCD15436704BGFB1D" TargetMode="External"/><Relationship Id="rId11" Type="http://schemas.openxmlformats.org/officeDocument/2006/relationships/hyperlink" Target="consultantplus://offline/ref=7AD6F95BBFCBC07199089FD29538C883D555E09A88388EEEB5DB82F0D8958FDDC44053BD5B1DA547B53E5BC093EDF5BCD15436704BGFB1D" TargetMode="External"/><Relationship Id="rId24" Type="http://schemas.openxmlformats.org/officeDocument/2006/relationships/hyperlink" Target="consultantplus://offline/ref=7AD6F95BBFCBC07199089FD29538C883D556E79D84398EEEB5DB82F0D8958FDDC44053BB581BA714E5715A9CD5B1E6BED054347854FA7A62GBB2D" TargetMode="External"/><Relationship Id="rId5" Type="http://schemas.openxmlformats.org/officeDocument/2006/relationships/hyperlink" Target="consultantplus://offline/ref=7AD6F95BBFCBC07199089FD29538C883D555E09A88388EEEB5DB82F0D8958FDDC44053BB581BAE15ED715A9CD5B1E6BED054347854FA7A62GBB2D" TargetMode="External"/><Relationship Id="rId15" Type="http://schemas.openxmlformats.org/officeDocument/2006/relationships/hyperlink" Target="consultantplus://offline/ref=7AD6F95BBFCBC07199089FD29538C883D555E09A88388EEEB5DB82F0D8958FDDC44053BB581AAC14ED715A9CD5B1E6BED054347854FA7A62GBB2D" TargetMode="External"/><Relationship Id="rId23" Type="http://schemas.openxmlformats.org/officeDocument/2006/relationships/hyperlink" Target="consultantplus://offline/ref=7AD6F95BBFCBC07199089FD29538C883D556E79D84398EEEB5DB82F0D8958FDDC44053BB581BA714E5715A9CD5B1E6BED054347854FA7A62GBB2D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7AD6F95BBFCBC07199089FD29538C883D555E09A88388EEEB5DB82F0D8958FDDC44053BB581BAA17E7715A9CD5B1E6BED054347854FA7A62GBB2D" TargetMode="External"/><Relationship Id="rId19" Type="http://schemas.openxmlformats.org/officeDocument/2006/relationships/hyperlink" Target="consultantplus://offline/ref=7AD6F95BBFCBC07199089FD29538C883D555E09A88388EEEB5DB82F0D8958FDDC44053BE5B19AB18B02B4A989CE6E2A2D9422A724AF9G7B3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AD6F95BBFCBC07199089FD29538C883D555E09A88388EEEB5DB82F0D8958FDDC44053BD5E13AB18B02B4A989CE6E2A2D9422A724AF9G7B3D" TargetMode="External"/><Relationship Id="rId14" Type="http://schemas.openxmlformats.org/officeDocument/2006/relationships/hyperlink" Target="consultantplus://offline/ref=7AD6F95BBFCBC07199089FD29538C883D555E09A88388EEEB5DB82F0D8958FDDC44053BC581AAF18B02B4A989CE6E2A2D9422A724AF9G7B3D" TargetMode="External"/><Relationship Id="rId22" Type="http://schemas.openxmlformats.org/officeDocument/2006/relationships/hyperlink" Target="consultantplus://offline/ref=7AD6F95BBFCBC07199089FD29538C883D556E79D84398EEEB5DB82F0D8958FDDC44053BB581BAC1AE2715A9CD5B1E6BED054347854FA7A62GBB2D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1603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Алексеевна Вилесова</dc:creator>
  <cp:lastModifiedBy>Анастасия Алексеевна Вилесова</cp:lastModifiedBy>
  <cp:revision>1</cp:revision>
  <dcterms:created xsi:type="dcterms:W3CDTF">2019-08-29T03:01:00Z</dcterms:created>
  <dcterms:modified xsi:type="dcterms:W3CDTF">2019-08-29T03:01:00Z</dcterms:modified>
</cp:coreProperties>
</file>